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7740"/>
        </w:tabs>
        <w:adjustRightInd w:val="0"/>
        <w:snapToGrid w:val="0"/>
        <w:spacing w:line="560" w:lineRule="exact"/>
        <w:ind w:firstLine="643" w:firstLineChars="200"/>
        <w:jc w:val="center"/>
        <w:rPr>
          <w:rFonts w:ascii="仿宋_GB2312" w:hAnsi="仿宋_GB2312" w:eastAsia="仿宋_GB2312" w:cs="仿宋_GB2312"/>
          <w:b/>
          <w:bCs/>
          <w:sz w:val="24"/>
          <w:szCs w:val="24"/>
          <w:highlight w:val="yellow"/>
        </w:rPr>
      </w:pPr>
      <w:r>
        <w:rPr>
          <w:rFonts w:hint="eastAsia" w:ascii="仿宋_GB2312" w:hAnsi="仿宋_GB2312" w:eastAsia="仿宋_GB2312" w:cs="仿宋_GB2312"/>
          <w:b/>
          <w:bCs/>
          <w:sz w:val="32"/>
          <w:szCs w:val="32"/>
          <w:lang w:eastAsia="zh-CN"/>
        </w:rPr>
        <w:t>珠海市第五人民医院配镜中心经营权</w:t>
      </w:r>
      <w:r>
        <w:rPr>
          <w:rFonts w:hint="eastAsia" w:ascii="仿宋_GB2312" w:hAnsi="仿宋_GB2312" w:eastAsia="仿宋_GB2312" w:cs="仿宋_GB2312"/>
          <w:b/>
          <w:bCs/>
          <w:sz w:val="32"/>
          <w:szCs w:val="32"/>
        </w:rPr>
        <w:t>用户需求书</w:t>
      </w:r>
    </w:p>
    <w:p>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（一）项目概况</w:t>
      </w:r>
    </w:p>
    <w:p>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本项目</w:t>
      </w:r>
      <w:r>
        <w:rPr>
          <w:rFonts w:hint="eastAsia" w:ascii="仿宋_GB2312" w:hAnsi="仿宋_GB2312" w:eastAsia="仿宋_GB2312" w:cs="仿宋_GB2312"/>
          <w:sz w:val="24"/>
          <w:szCs w:val="24"/>
          <w:lang w:eastAsia="zh-CN"/>
        </w:rPr>
        <w:t>意向通过</w:t>
      </w:r>
      <w:r>
        <w:rPr>
          <w:rFonts w:hint="eastAsia" w:ascii="仿宋_GB2312" w:hAnsi="仿宋_GB2312" w:eastAsia="仿宋_GB2312" w:cs="仿宋_GB2312"/>
          <w:sz w:val="24"/>
          <w:szCs w:val="24"/>
        </w:rPr>
        <w:t>院内</w:t>
      </w:r>
      <w:r>
        <w:rPr>
          <w:rFonts w:hint="eastAsia" w:ascii="仿宋_GB2312" w:hAnsi="仿宋_GB2312" w:eastAsia="仿宋_GB2312" w:cs="仿宋_GB2312"/>
          <w:sz w:val="24"/>
          <w:szCs w:val="24"/>
          <w:lang w:eastAsia="zh-CN"/>
        </w:rPr>
        <w:t>简易招标</w:t>
      </w:r>
      <w:r>
        <w:rPr>
          <w:rFonts w:hint="eastAsia" w:ascii="仿宋_GB2312" w:hAnsi="仿宋_GB2312" w:eastAsia="仿宋_GB2312" w:cs="仿宋_GB2312"/>
          <w:sz w:val="24"/>
          <w:szCs w:val="24"/>
        </w:rPr>
        <w:t>形式，对配镜中心经营权进行采购，</w:t>
      </w:r>
      <w:r>
        <w:rPr>
          <w:rFonts w:hint="eastAsia" w:ascii="仿宋_GB2312" w:hAnsi="仿宋_GB2312" w:eastAsia="仿宋_GB2312" w:cs="仿宋_GB2312"/>
          <w:sz w:val="24"/>
          <w:szCs w:val="24"/>
          <w:lang w:eastAsia="zh-CN"/>
        </w:rPr>
        <w:t>中标人</w:t>
      </w:r>
      <w:r>
        <w:rPr>
          <w:rFonts w:hint="eastAsia" w:ascii="仿宋_GB2312" w:hAnsi="仿宋_GB2312" w:eastAsia="仿宋_GB2312" w:cs="仿宋_GB2312"/>
          <w:sz w:val="24"/>
          <w:szCs w:val="24"/>
        </w:rPr>
        <w:t>获得的经营权必须经营与医院眼科配套服务的配镜中心，不能用作他用。</w:t>
      </w:r>
    </w:p>
    <w:p>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（二）项目总体</w:t>
      </w:r>
      <w:r>
        <w:rPr>
          <w:rFonts w:hint="eastAsia" w:ascii="仿宋_GB2312" w:hAnsi="仿宋_GB2312" w:eastAsia="仿宋_GB2312" w:cs="仿宋_GB2312"/>
          <w:b/>
          <w:bCs/>
          <w:kern w:val="0"/>
          <w:sz w:val="24"/>
          <w:szCs w:val="24"/>
        </w:rPr>
        <w:t>要求：</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1.满足支持眼科学科发展需求。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工作人员需具有专业验光配镜资格，提供专业、严谨的符合国家标准医学验光配镜流程，协助采购人完成指令性任务、公益活动，积极配合推动眼视光工作。</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2.协助采购人开展视力筛查建档工作，进行眼视力保健知识的科普宣传及全面普及。 </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3.合同期内如遇国家政策调整或与国家及上级规定相抵触而不能继续履约，应按国家相关规定执行，</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应无条件服从，经采购人、</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双方协商一致后做相应的调整或合约终止，因此造成的损失双方各自承担，不得向对方追究责任。</w:t>
      </w:r>
    </w:p>
    <w:p>
      <w:pPr>
        <w:pStyle w:val="4"/>
        <w:tabs>
          <w:tab w:val="left" w:pos="7740"/>
        </w:tabs>
        <w:adjustRightInd w:val="0"/>
        <w:snapToGrid w:val="0"/>
        <w:spacing w:line="560" w:lineRule="exact"/>
        <w:ind w:firstLine="482" w:firstLineChars="200"/>
      </w:pPr>
      <w:r>
        <w:rPr>
          <w:rFonts w:hint="eastAsia" w:ascii="仿宋_GB2312" w:hAnsi="仿宋_GB2312" w:eastAsia="仿宋_GB2312" w:cs="仿宋_GB2312"/>
          <w:b/>
          <w:bCs/>
          <w:kern w:val="0"/>
          <w:sz w:val="24"/>
          <w:szCs w:val="24"/>
        </w:rPr>
        <w:t>（三）开展业务范围</w:t>
      </w:r>
    </w:p>
    <w:p>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1.配镜业务：儿童光学眼镜、成人光学眼镜、老年人定制眼镜、特殊功能性眼镜、近视渐进光学眼镜、高端定制眼镜、高品质软性隐形眼镜、角膜塑形镜等</w:t>
      </w:r>
      <w:r>
        <w:rPr>
          <w:rFonts w:hint="eastAsia" w:ascii="仿宋_GB2312" w:hAnsi="仿宋_GB2312" w:eastAsia="仿宋_GB2312" w:cs="仿宋_GB2312"/>
          <w:kern w:val="0"/>
          <w:sz w:val="24"/>
          <w:szCs w:val="24"/>
          <w:lang w:eastAsia="zh-CN"/>
        </w:rPr>
        <w:t>。</w:t>
      </w:r>
    </w:p>
    <w:p>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2.视力普查：协助采购人为外单位进行视力</w:t>
      </w:r>
      <w:r>
        <w:rPr>
          <w:rFonts w:hint="eastAsia" w:ascii="仿宋_GB2312" w:hAnsi="仿宋_GB2312" w:eastAsia="仿宋_GB2312" w:cs="仿宋_GB2312"/>
          <w:kern w:val="0"/>
          <w:sz w:val="24"/>
          <w:szCs w:val="24"/>
          <w:lang w:eastAsia="zh-CN"/>
        </w:rPr>
        <w:t>筛</w:t>
      </w:r>
      <w:r>
        <w:rPr>
          <w:rFonts w:hint="eastAsia" w:ascii="仿宋_GB2312" w:hAnsi="仿宋_GB2312" w:eastAsia="仿宋_GB2312" w:cs="仿宋_GB2312"/>
          <w:kern w:val="0"/>
          <w:sz w:val="24"/>
          <w:szCs w:val="24"/>
        </w:rPr>
        <w:t>查</w:t>
      </w:r>
      <w:r>
        <w:rPr>
          <w:rFonts w:hint="eastAsia" w:ascii="仿宋_GB2312" w:hAnsi="仿宋_GB2312" w:eastAsia="仿宋_GB2312" w:cs="仿宋_GB2312"/>
          <w:kern w:val="0"/>
          <w:sz w:val="24"/>
          <w:szCs w:val="24"/>
          <w:lang w:eastAsia="zh-CN"/>
        </w:rPr>
        <w:t>、视力建档等工作。</w:t>
      </w:r>
    </w:p>
    <w:p>
      <w:pPr>
        <w:pStyle w:val="4"/>
        <w:tabs>
          <w:tab w:val="left" w:pos="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3.青少年近视防控综合服务</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为儿童青少年提供定期视力检查（裸眼视力、矫正视力、眼轴长度、角膜曲率等）</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建立屈光发育档案，动态追踪视力变化，评估近视风险（每3-6个月更新）</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提供个性化</w:t>
      </w:r>
      <w:r>
        <w:rPr>
          <w:rFonts w:hint="eastAsia" w:ascii="仿宋_GB2312" w:hAnsi="仿宋_GB2312" w:eastAsia="仿宋_GB2312" w:cs="仿宋_GB2312"/>
          <w:kern w:val="0"/>
          <w:sz w:val="24"/>
          <w:szCs w:val="24"/>
          <w:lang w:val="en-US" w:eastAsia="zh-CN"/>
        </w:rPr>
        <w:t>近视</w:t>
      </w:r>
      <w:r>
        <w:rPr>
          <w:rFonts w:hint="eastAsia" w:ascii="仿宋_GB2312" w:hAnsi="仿宋_GB2312" w:eastAsia="仿宋_GB2312" w:cs="仿宋_GB2312"/>
          <w:kern w:val="0"/>
          <w:sz w:val="24"/>
          <w:szCs w:val="24"/>
        </w:rPr>
        <w:t>防控建议</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科学矫正与干预</w:t>
      </w:r>
      <w:r>
        <w:rPr>
          <w:rFonts w:hint="eastAsia" w:ascii="仿宋_GB2312" w:hAnsi="仿宋_GB2312" w:eastAsia="仿宋_GB2312" w:cs="仿宋_GB2312"/>
          <w:kern w:val="0"/>
          <w:sz w:val="24"/>
          <w:szCs w:val="24"/>
          <w:lang w:val="en-US" w:eastAsia="zh-CN"/>
        </w:rPr>
        <w:t>提供青少年近视防控</w:t>
      </w:r>
      <w:r>
        <w:rPr>
          <w:rFonts w:hint="eastAsia" w:ascii="仿宋_GB2312" w:hAnsi="仿宋_GB2312" w:eastAsia="仿宋_GB2312" w:cs="仿宋_GB2312"/>
          <w:kern w:val="0"/>
          <w:sz w:val="24"/>
          <w:szCs w:val="24"/>
        </w:rPr>
        <w:t>光学矫正：验配离焦框架镜、角膜塑形镜（OK镜）、多焦点软性接触镜等</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行为干预：制定用眼习惯改善方案</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户外活动时长监测与提醒。  定期开展校园/社区近视防控讲座，普及“防-控-治”知识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并</w:t>
      </w:r>
      <w:r>
        <w:rPr>
          <w:rFonts w:hint="eastAsia" w:ascii="仿宋_GB2312" w:hAnsi="仿宋_GB2312" w:eastAsia="仿宋_GB2312" w:cs="仿宋_GB2312"/>
          <w:kern w:val="0"/>
          <w:sz w:val="24"/>
          <w:szCs w:val="24"/>
        </w:rPr>
        <w:t>对有关数据进行医学科学整理、统计，为近视防控提供科学依据</w:t>
      </w:r>
      <w:r>
        <w:rPr>
          <w:rFonts w:hint="eastAsia" w:ascii="仿宋_GB2312" w:hAnsi="仿宋_GB2312" w:eastAsia="仿宋_GB2312" w:cs="仿宋_GB2312"/>
          <w:kern w:val="0"/>
          <w:sz w:val="24"/>
          <w:szCs w:val="24"/>
          <w:lang w:eastAsia="zh-CN"/>
        </w:rPr>
        <w:t>。</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4.角膜塑形镜验配:能提供多种型号品牌的产品、RGP、角膜塑形镜（OK镜)等。由采购人提供试戴工作室并协助完成角膜塑形镜业务的医疗操作、最终度数确定和检查等。</w:t>
      </w:r>
    </w:p>
    <w:p>
      <w:pPr>
        <w:pStyle w:val="4"/>
        <w:tabs>
          <w:tab w:val="left" w:pos="0"/>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val="en-US" w:eastAsia="zh-CN"/>
        </w:rPr>
        <w:t>视觉训练及</w:t>
      </w:r>
      <w:r>
        <w:rPr>
          <w:rFonts w:hint="eastAsia" w:ascii="仿宋_GB2312" w:hAnsi="仿宋_GB2312" w:eastAsia="仿宋_GB2312" w:cs="仿宋_GB2312"/>
          <w:kern w:val="0"/>
          <w:sz w:val="24"/>
          <w:szCs w:val="24"/>
        </w:rPr>
        <w:t>宣教指引业务:针对</w:t>
      </w:r>
      <w:r>
        <w:rPr>
          <w:rFonts w:hint="eastAsia" w:ascii="仿宋_GB2312" w:hAnsi="仿宋_GB2312" w:eastAsia="仿宋_GB2312" w:cs="仿宋_GB2312"/>
          <w:kern w:val="0"/>
          <w:sz w:val="24"/>
          <w:szCs w:val="24"/>
          <w:lang w:val="en-US" w:eastAsia="zh-CN"/>
        </w:rPr>
        <w:t>视觉</w:t>
      </w:r>
      <w:r>
        <w:rPr>
          <w:rFonts w:hint="eastAsia" w:ascii="仿宋_GB2312" w:hAnsi="仿宋_GB2312" w:eastAsia="仿宋_GB2312" w:cs="仿宋_GB2312"/>
          <w:kern w:val="0"/>
          <w:sz w:val="24"/>
          <w:szCs w:val="24"/>
        </w:rPr>
        <w:t>功能异常等近视相关视功能障碍，开展双眼视功能训练</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弱视筛查与</w:t>
      </w:r>
      <w:r>
        <w:rPr>
          <w:rFonts w:hint="eastAsia" w:ascii="仿宋_GB2312" w:hAnsi="仿宋_GB2312" w:eastAsia="仿宋_GB2312" w:cs="仿宋_GB2312"/>
          <w:kern w:val="0"/>
          <w:sz w:val="24"/>
          <w:szCs w:val="24"/>
          <w:lang w:val="en-US" w:eastAsia="zh-CN"/>
        </w:rPr>
        <w:t>训练，配合科室</w:t>
      </w:r>
      <w:r>
        <w:rPr>
          <w:rFonts w:hint="eastAsia" w:ascii="仿宋_GB2312" w:hAnsi="仿宋_GB2312" w:eastAsia="仿宋_GB2312" w:cs="仿宋_GB2312"/>
          <w:kern w:val="0"/>
          <w:sz w:val="24"/>
          <w:szCs w:val="24"/>
        </w:rPr>
        <w:t>通过屈光度检测、眼底检查、双眼视功能评估等，明确弱视类型</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制定个性化治疗方案</w:t>
      </w:r>
      <w:r>
        <w:rPr>
          <w:rFonts w:hint="eastAsia" w:ascii="仿宋_GB2312" w:hAnsi="仿宋_GB2312" w:eastAsia="仿宋_GB2312" w:cs="仿宋_GB2312"/>
          <w:kern w:val="0"/>
          <w:sz w:val="24"/>
          <w:szCs w:val="24"/>
          <w:lang w:eastAsia="zh-CN"/>
        </w:rPr>
        <w:t>。建立弱视患者数据库，定期评估视力提升进度；根据恢复情况动态调整遮盖比例及训练强度。</w:t>
      </w:r>
    </w:p>
    <w:p>
      <w:pPr>
        <w:pStyle w:val="4"/>
        <w:tabs>
          <w:tab w:val="left" w:pos="0"/>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6.科普宣传及健康教育：协助采购人开展各种形式的视力保健科普宣传和健康教育，包括发放各种眼科、视光学的视力保健文献、宣传册和刊物等；普及相关知识。</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7.配合采购人完成其他视光配镜及眼科发展所需的业务。</w:t>
      </w:r>
    </w:p>
    <w:p>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（四）服务要求：</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经营期间应遵守采购人的</w:t>
      </w:r>
      <w:r>
        <w:rPr>
          <w:rFonts w:hint="eastAsia" w:ascii="仿宋_GB2312" w:hAnsi="仿宋_GB2312" w:eastAsia="仿宋_GB2312" w:cs="仿宋_GB2312"/>
          <w:sz w:val="24"/>
          <w:szCs w:val="24"/>
        </w:rPr>
        <w:t>规章管理制度</w:t>
      </w:r>
      <w:r>
        <w:rPr>
          <w:rFonts w:hint="eastAsia" w:ascii="仿宋_GB2312" w:hAnsi="仿宋_GB2312" w:eastAsia="仿宋_GB2312" w:cs="仿宋_GB2312"/>
          <w:kern w:val="0"/>
          <w:sz w:val="24"/>
          <w:szCs w:val="24"/>
        </w:rPr>
        <w:t>，积极维护医院形象及消费者权益。</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2.配镜中心经营时间：原则上与采购人眼科门诊营业时间一致，包括但不限于每日8:00-12：00，14：</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0-17:</w:t>
      </w:r>
      <w:r>
        <w:rPr>
          <w:rFonts w:hint="eastAsia" w:ascii="仿宋_GB2312" w:hAnsi="仿宋_GB2312" w:eastAsia="仿宋_GB2312" w:cs="仿宋_GB2312"/>
          <w:kern w:val="0"/>
          <w:sz w:val="24"/>
          <w:szCs w:val="24"/>
          <w:lang w:val="en-US" w:eastAsia="zh-CN"/>
        </w:rPr>
        <w:t>0</w:t>
      </w:r>
      <w:bookmarkStart w:id="0" w:name="_GoBack"/>
      <w:bookmarkEnd w:id="0"/>
      <w:r>
        <w:rPr>
          <w:rFonts w:hint="eastAsia" w:ascii="仿宋_GB2312" w:hAnsi="仿宋_GB2312" w:eastAsia="仿宋_GB2312" w:cs="仿宋_GB2312"/>
          <w:kern w:val="0"/>
          <w:sz w:val="24"/>
          <w:szCs w:val="24"/>
        </w:rPr>
        <w:t>0营业（</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须保证能够根据采购人业务需要动态调整营业时间）。</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3.响应时间：</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接到采购人服务通知</w:t>
      </w:r>
      <w:r>
        <w:rPr>
          <w:rFonts w:hint="eastAsia" w:ascii="仿宋_GB2312" w:hAnsi="仿宋_GB2312" w:eastAsia="仿宋_GB2312" w:cs="仿宋_GB2312"/>
          <w:b/>
          <w:bCs/>
          <w:kern w:val="0"/>
          <w:sz w:val="24"/>
          <w:szCs w:val="24"/>
          <w:u w:val="single"/>
          <w:lang w:val="en-US" w:eastAsia="zh-CN"/>
        </w:rPr>
        <w:t xml:space="preserve"> 5 </w:t>
      </w:r>
      <w:r>
        <w:rPr>
          <w:rFonts w:hint="eastAsia" w:ascii="仿宋_GB2312" w:hAnsi="仿宋_GB2312" w:eastAsia="仿宋_GB2312" w:cs="仿宋_GB2312"/>
          <w:kern w:val="0"/>
          <w:sz w:val="24"/>
          <w:szCs w:val="24"/>
        </w:rPr>
        <w:t>分钟内响应，且在</w:t>
      </w:r>
      <w:r>
        <w:rPr>
          <w:rFonts w:hint="eastAsia" w:ascii="仿宋_GB2312" w:hAnsi="仿宋_GB2312" w:eastAsia="仿宋_GB2312" w:cs="仿宋_GB2312"/>
          <w:b/>
          <w:bCs/>
          <w:kern w:val="0"/>
          <w:sz w:val="24"/>
          <w:szCs w:val="24"/>
          <w:u w:val="single"/>
          <w:lang w:val="en-US" w:eastAsia="zh-CN"/>
        </w:rPr>
        <w:t xml:space="preserve"> 1 </w:t>
      </w:r>
      <w:r>
        <w:rPr>
          <w:rFonts w:hint="eastAsia" w:ascii="仿宋_GB2312" w:hAnsi="仿宋_GB2312" w:eastAsia="仿宋_GB2312" w:cs="仿宋_GB2312"/>
          <w:kern w:val="0"/>
          <w:sz w:val="24"/>
          <w:szCs w:val="24"/>
        </w:rPr>
        <w:t>小时内（含本数）解决问题或提供解决方案。如采购人有现场服务需求，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应安排充足人员在1小时内到达采购人现场。</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提供的产品材料必须是合格产品，具备国家认可的相应资质许可证明，并符合国家质量标准。</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对所销售产品的质量保证，按照“三包法”进行售后服务。</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的产品和服务接受采购人监督，因产品质量或服务等原因与患者发生纠纷或医疗事故或行政处罚的责任和费用均由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承担，与采购人无关，由此引起第三方向采购人追责造成采购人经济损失的，采购人有权向</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追索。</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的经营场所应设有独立标识，工作人员服装应与采购人职工服装进行区分。</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6.项目服务与技术支持的具体内容：</w:t>
      </w:r>
    </w:p>
    <w:p>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（1）科普宣传及健康教育：协助采购人开展各种形式的视力保健科普宣传和健康教育，包括发放各种眼科、视光学的视力保健文献、宣传册和刊物等；普及相关知识</w:t>
      </w:r>
      <w:r>
        <w:rPr>
          <w:rFonts w:hint="eastAsia" w:ascii="仿宋_GB2312" w:hAnsi="仿宋_GB2312" w:eastAsia="仿宋_GB2312" w:cs="仿宋_GB2312"/>
          <w:kern w:val="0"/>
          <w:sz w:val="24"/>
          <w:lang w:eastAsia="zh-CN"/>
        </w:rPr>
        <w:t>；</w:t>
      </w:r>
    </w:p>
    <w:p>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（2）视力普查：协助采购人为外单位进行视力检查</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szCs w:val="24"/>
          <w:lang w:eastAsia="zh-CN"/>
        </w:rPr>
        <w:t>视力建档等工作</w:t>
      </w:r>
      <w:r>
        <w:rPr>
          <w:rFonts w:hint="eastAsia" w:ascii="仿宋_GB2312" w:hAnsi="仿宋_GB2312" w:eastAsia="仿宋_GB2312" w:cs="仿宋_GB2312"/>
          <w:kern w:val="0"/>
          <w:sz w:val="24"/>
          <w:lang w:eastAsia="zh-CN"/>
        </w:rPr>
        <w:t>；</w:t>
      </w:r>
    </w:p>
    <w:p>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（3）规范统计及科学建档：协助采购人开展视力筛查建档工作，对有关数据进行医学科学整理、统计，为近视防控提供科学依据</w:t>
      </w:r>
      <w:r>
        <w:rPr>
          <w:rFonts w:hint="eastAsia" w:ascii="仿宋_GB2312" w:hAnsi="仿宋_GB2312" w:eastAsia="仿宋_GB2312" w:cs="仿宋_GB2312"/>
          <w:kern w:val="0"/>
          <w:sz w:val="24"/>
          <w:lang w:eastAsia="zh-CN"/>
        </w:rPr>
        <w:t>；</w:t>
      </w:r>
    </w:p>
    <w:p>
      <w:pPr>
        <w:spacing w:line="560" w:lineRule="exact"/>
        <w:ind w:firstLine="480" w:firstLineChars="200"/>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（4）跟踪服务及科学干预：做好客户跟踪服务工作；为每位服务对象建立眼科健康档案，进行远期监控，及时准确的了解视力变化情况，给予必要的提醒和指导</w:t>
      </w:r>
      <w:r>
        <w:rPr>
          <w:rFonts w:hint="eastAsia" w:ascii="仿宋_GB2312" w:hAnsi="仿宋_GB2312" w:eastAsia="仿宋_GB2312" w:cs="仿宋_GB2312"/>
          <w:kern w:val="0"/>
          <w:sz w:val="24"/>
          <w:lang w:eastAsia="zh-CN"/>
        </w:rPr>
        <w:t>；</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（5）儿童青少年视力和视觉的综合检查（视力、视觉、视功能、发育情况、视环境）；</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（6）提供医学性、专业性、严谨性的国际标准医学验光配镜流程；</w:t>
      </w:r>
    </w:p>
    <w:p>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（7）协助医院开展珠海市中小学生视力筛查建档、科普宣教公益</w:t>
      </w:r>
      <w:r>
        <w:rPr>
          <w:rFonts w:hint="eastAsia" w:ascii="仿宋_GB2312" w:hAnsi="仿宋_GB2312" w:eastAsia="仿宋_GB2312" w:cs="仿宋_GB2312"/>
          <w:kern w:val="0"/>
          <w:sz w:val="24"/>
          <w:szCs w:val="24"/>
          <w:lang w:eastAsia="zh-CN"/>
        </w:rPr>
        <w:t>工作</w:t>
      </w:r>
      <w:r>
        <w:rPr>
          <w:rFonts w:hint="eastAsia" w:ascii="仿宋_GB2312" w:hAnsi="仿宋_GB2312" w:eastAsia="仿宋_GB2312" w:cs="仿宋_GB2312"/>
          <w:kern w:val="0"/>
          <w:sz w:val="24"/>
          <w:szCs w:val="24"/>
        </w:rPr>
        <w:t>,由此产生的交通费、餐饮住宿费、仪器设备费用、劳务费用等，均由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承担。</w:t>
      </w:r>
    </w:p>
    <w:p>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经营项目应符合医院院感、医院等级评审等对医院的标准要求（包括但不限于设备达到高水平消毒效果、经营场所卫生标准、人员手卫生、所产生垃圾按医院相关要求分类处理等）,并配合医院的各项检查。对于医院提出的整改意见，受中标方应积极听取并采取有效措施及时整改。</w:t>
      </w:r>
    </w:p>
    <w:p>
      <w:pPr>
        <w:pStyle w:val="4"/>
        <w:tabs>
          <w:tab w:val="left" w:pos="7740"/>
        </w:tabs>
        <w:adjustRightInd w:val="0"/>
        <w:snapToGrid w:val="0"/>
        <w:spacing w:line="560" w:lineRule="exact"/>
        <w:ind w:firstLine="480" w:firstLineChars="200"/>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配镜交付时间：常规眼镜片（现片）交付时间为3天；定制眼镜片交付时间为7天左右，可提供邮到家服务。现场取镜、试戴或邮寄到家的患者，如有需要调整的现场解决；给患者宣教配戴方式，以及清洗保养方法。</w:t>
      </w:r>
    </w:p>
    <w:p>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（五）人员要求</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负责组建开展配镜业务所需的运营团队，运营团队应配备驻场人员不少于</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人，所有人员应具备丰富的相关业务经验，具备相应岗位所需的有效证件资质</w:t>
      </w:r>
      <w:r>
        <w:rPr>
          <w:rFonts w:hint="eastAsia" w:ascii="仿宋_GB2312" w:hAnsi="仿宋_GB2312" w:eastAsia="仿宋_GB2312" w:cs="仿宋_GB2312"/>
          <w:kern w:val="0"/>
          <w:sz w:val="24"/>
          <w:szCs w:val="24"/>
          <w:lang w:eastAsia="zh-CN"/>
        </w:rPr>
        <w:t>（包括但不限于具备初级验光师等级以上</w:t>
      </w:r>
      <w:r>
        <w:rPr>
          <w:rFonts w:hint="eastAsia" w:ascii="仿宋_GB2312" w:hAnsi="仿宋_GB2312" w:eastAsia="仿宋_GB2312" w:cs="仿宋_GB2312"/>
          <w:kern w:val="0"/>
          <w:sz w:val="24"/>
          <w:szCs w:val="24"/>
        </w:rPr>
        <w:t>从业资格证书</w:t>
      </w:r>
      <w:r>
        <w:rPr>
          <w:rFonts w:hint="eastAsia" w:ascii="仿宋_GB2312" w:hAnsi="仿宋_GB2312" w:eastAsia="仿宋_GB2312" w:cs="仿宋_GB2312"/>
          <w:kern w:val="0"/>
          <w:sz w:val="24"/>
          <w:szCs w:val="24"/>
          <w:lang w:eastAsia="zh-CN"/>
        </w:rPr>
        <w:t>、角膜塑形镜验配资质等），</w:t>
      </w:r>
      <w:r>
        <w:rPr>
          <w:rFonts w:hint="eastAsia" w:ascii="仿宋_GB2312" w:hAnsi="仿宋_GB2312" w:eastAsia="仿宋_GB2312" w:cs="仿宋_GB2312"/>
          <w:kern w:val="0"/>
          <w:sz w:val="24"/>
          <w:szCs w:val="24"/>
        </w:rPr>
        <w:t>符合相关政府部门的有关要求。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应设一名项目运营经理，专门负责与采购人对接项目管理相关事宜。</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负责办理员工的劳动用工手续、劳动及工伤保险、入职体检等事宜。</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必须为其所有员工提供政府及《中华人民共和国劳动法》、《中华人民共和国劳动合同法》等相关法律规定的社会保险及特殊补贴等，保证所有员工工资不低于珠海市的最低工资标准；同时必须提供基本的劳动保护和必要的休息。</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3.合同签署后，</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应在3个工作日内提供项目运营人员名单报采购人备案，备案资料包括但不限于项目运营人员姓名、手机号码、相应岗位所需有效的从业资格证书复印件等相关信息（所有资料加盖</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公章）。因</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原因需更换本项目运营人员，应提前五个工作日通知采购人总务</w:t>
      </w:r>
      <w:r>
        <w:rPr>
          <w:rFonts w:hint="eastAsia" w:ascii="仿宋_GB2312" w:hAnsi="仿宋_GB2312" w:eastAsia="仿宋_GB2312" w:cs="仿宋_GB2312"/>
          <w:kern w:val="0"/>
          <w:sz w:val="24"/>
          <w:szCs w:val="24"/>
          <w:lang w:eastAsia="zh-CN"/>
        </w:rPr>
        <w:t>科</w:t>
      </w:r>
      <w:r>
        <w:rPr>
          <w:rFonts w:hint="eastAsia" w:ascii="仿宋_GB2312" w:hAnsi="仿宋_GB2312" w:eastAsia="仿宋_GB2312" w:cs="仿宋_GB2312"/>
          <w:kern w:val="0"/>
          <w:sz w:val="24"/>
          <w:szCs w:val="24"/>
        </w:rPr>
        <w:t>，取得采购人同意后更换并补充更换后人员的相关资料。</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员工在采购人单位工作期间，必须遵守国家法律和医院的规章制度，切实履行相关的工作制度和职责。采购人有权对运营人员的工作进行指导、检查、监督，并要求调换不合适的运营人员。</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负责定期对运营团队人员提供相应的技术培训。</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6.验光员负责为顾客提供视光方面的视功能检查、回访售后等服务。</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负责其员工的人身安全。经营期间，如发生工伤或意外，由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负责，与采购人无关。经营期间，如因</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（或其员工）的原因导致</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、采购人、第三方的人员或者财产损伤的均由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自行负责，由此引起第三方向采购人追责造成采购人经济损失的，采购人有权向</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追索。</w:t>
      </w:r>
    </w:p>
    <w:p>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（六）投入设备要求：</w:t>
      </w:r>
    </w:p>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负责提供物理矫正及眼镜验光、装配加工等所需的相关仪器设备（详情请见附件《配镜中心视光设备清单》），清单内设备由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负责提供并自行负责所有设备的维护、维修及保养，产生的一切费用由</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承担。</w:t>
      </w:r>
    </w:p>
    <w:tbl>
      <w:tblPr>
        <w:tblStyle w:val="5"/>
        <w:tblpPr w:leftFromText="180" w:rightFromText="180" w:vertAnchor="text" w:horzAnchor="page" w:tblpX="1300" w:tblpY="414"/>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03"/>
        <w:gridCol w:w="711"/>
        <w:gridCol w:w="705"/>
        <w:gridCol w:w="3060"/>
        <w:gridCol w:w="119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25" w:type="dxa"/>
            <w:gridSpan w:val="7"/>
            <w:shd w:val="clear" w:color="auto" w:fill="auto"/>
            <w:noWrap/>
            <w:vAlign w:val="center"/>
          </w:tcPr>
          <w:p>
            <w:pPr>
              <w:widowControl/>
              <w:spacing w:line="560" w:lineRule="exact"/>
              <w:ind w:firstLine="480" w:firstLineChars="20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配镜中心视光设备清单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9"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序号</w:t>
            </w:r>
          </w:p>
        </w:tc>
        <w:tc>
          <w:tcPr>
            <w:tcW w:w="1903"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种类</w:t>
            </w:r>
          </w:p>
        </w:tc>
        <w:tc>
          <w:tcPr>
            <w:tcW w:w="711"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单位</w:t>
            </w:r>
          </w:p>
        </w:tc>
        <w:tc>
          <w:tcPr>
            <w:tcW w:w="705"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数量</w:t>
            </w:r>
          </w:p>
        </w:tc>
        <w:tc>
          <w:tcPr>
            <w:tcW w:w="3060"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用途</w:t>
            </w:r>
          </w:p>
        </w:tc>
        <w:tc>
          <w:tcPr>
            <w:tcW w:w="1194"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检查项目</w:t>
            </w:r>
          </w:p>
        </w:tc>
        <w:tc>
          <w:tcPr>
            <w:tcW w:w="1513" w:type="dxa"/>
            <w:shd w:val="clear" w:color="auto" w:fill="auto"/>
            <w:vAlign w:val="center"/>
          </w:tcPr>
          <w:p>
            <w:pPr>
              <w:widowControl/>
              <w:jc w:val="center"/>
              <w:rPr>
                <w:color w:val="000000" w:themeColor="text1"/>
                <w14:textFill>
                  <w14:solidFill>
                    <w14:schemeClr w14:val="tx1"/>
                  </w14:solidFill>
                </w14:textFill>
              </w:rPr>
            </w:pPr>
            <w:r>
              <w:rPr>
                <w:color w:val="000000" w:themeColor="text1"/>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39" w:type="dxa"/>
            <w:shd w:val="clear" w:color="auto" w:fill="auto"/>
            <w:vAlign w:val="center"/>
          </w:tcPr>
          <w:p>
            <w:pPr>
              <w:widowControl/>
              <w:jc w:val="center"/>
            </w:pPr>
            <w:r>
              <w:rPr>
                <w:lang w:bidi="ar"/>
              </w:rPr>
              <w:t>1</w:t>
            </w:r>
          </w:p>
        </w:tc>
        <w:tc>
          <w:tcPr>
            <w:tcW w:w="1903" w:type="dxa"/>
            <w:shd w:val="clear" w:color="auto" w:fill="auto"/>
            <w:vAlign w:val="center"/>
          </w:tcPr>
          <w:p>
            <w:pPr>
              <w:widowControl/>
              <w:jc w:val="center"/>
            </w:pPr>
            <w:r>
              <w:rPr>
                <w:lang w:bidi="ar"/>
              </w:rPr>
              <w:t>电脑验光曲率仪</w:t>
            </w:r>
          </w:p>
        </w:tc>
        <w:tc>
          <w:tcPr>
            <w:tcW w:w="711" w:type="dxa"/>
            <w:shd w:val="clear" w:color="auto" w:fill="auto"/>
            <w:vAlign w:val="center"/>
          </w:tcPr>
          <w:p>
            <w:pPr>
              <w:widowControl/>
              <w:jc w:val="center"/>
            </w:pPr>
            <w:r>
              <w:rPr>
                <w:lang w:bidi="ar"/>
              </w:rPr>
              <w:t>台</w:t>
            </w:r>
          </w:p>
        </w:tc>
        <w:tc>
          <w:tcPr>
            <w:tcW w:w="705" w:type="dxa"/>
            <w:shd w:val="clear" w:color="auto" w:fill="auto"/>
            <w:vAlign w:val="center"/>
          </w:tcPr>
          <w:p>
            <w:pPr>
              <w:widowControl/>
              <w:jc w:val="center"/>
            </w:pPr>
            <w:r>
              <w:rPr>
                <w:lang w:bidi="ar"/>
              </w:rPr>
              <w:t>1</w:t>
            </w:r>
          </w:p>
        </w:tc>
        <w:tc>
          <w:tcPr>
            <w:tcW w:w="3060" w:type="dxa"/>
            <w:shd w:val="clear" w:color="auto" w:fill="auto"/>
            <w:vAlign w:val="center"/>
          </w:tcPr>
          <w:p>
            <w:pPr>
              <w:widowControl/>
              <w:jc w:val="left"/>
            </w:pPr>
            <w:r>
              <w:t>全自动验光加角膜曲率，双环大瞳孔区域成像法；三维自动追踪测量。</w:t>
            </w:r>
          </w:p>
        </w:tc>
        <w:tc>
          <w:tcPr>
            <w:tcW w:w="1194" w:type="dxa"/>
            <w:shd w:val="clear" w:color="auto" w:fill="auto"/>
            <w:vAlign w:val="center"/>
          </w:tcPr>
          <w:p>
            <w:pPr>
              <w:widowControl/>
              <w:jc w:val="center"/>
            </w:pPr>
            <w:r>
              <w:rPr>
                <w:lang w:bidi="ar"/>
              </w:rPr>
              <w:t>验光</w:t>
            </w:r>
          </w:p>
        </w:tc>
        <w:tc>
          <w:tcPr>
            <w:tcW w:w="1513" w:type="dxa"/>
            <w:shd w:val="clear" w:color="auto" w:fill="auto"/>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pPr>
              <w:widowControl/>
              <w:jc w:val="center"/>
              <w:rPr>
                <w:lang w:bidi="ar"/>
              </w:rPr>
            </w:pPr>
            <w:r>
              <w:rPr>
                <w:lang w:bidi="ar"/>
              </w:rPr>
              <w:t>2</w:t>
            </w:r>
          </w:p>
        </w:tc>
        <w:tc>
          <w:tcPr>
            <w:tcW w:w="1903" w:type="dxa"/>
            <w:shd w:val="clear" w:color="auto" w:fill="auto"/>
            <w:vAlign w:val="center"/>
          </w:tcPr>
          <w:p>
            <w:pPr>
              <w:widowControl/>
              <w:jc w:val="center"/>
              <w:rPr>
                <w:lang w:bidi="ar"/>
              </w:rPr>
            </w:pPr>
            <w:r>
              <w:rPr>
                <w:lang w:bidi="ar"/>
              </w:rPr>
              <w:t>非接触眼压计</w:t>
            </w:r>
          </w:p>
        </w:tc>
        <w:tc>
          <w:tcPr>
            <w:tcW w:w="711" w:type="dxa"/>
            <w:shd w:val="clear" w:color="auto" w:fill="auto"/>
            <w:vAlign w:val="center"/>
          </w:tcPr>
          <w:p>
            <w:pPr>
              <w:widowControl/>
              <w:jc w:val="center"/>
            </w:pPr>
            <w:r>
              <w:rPr>
                <w:lang w:bidi="ar"/>
              </w:rPr>
              <w:t>台</w:t>
            </w:r>
          </w:p>
        </w:tc>
        <w:tc>
          <w:tcPr>
            <w:tcW w:w="705" w:type="dxa"/>
            <w:shd w:val="clear" w:color="auto" w:fill="auto"/>
            <w:vAlign w:val="center"/>
          </w:tcPr>
          <w:p>
            <w:pPr>
              <w:widowControl/>
              <w:jc w:val="center"/>
            </w:pPr>
            <w:r>
              <w:rPr>
                <w:lang w:bidi="ar"/>
              </w:rPr>
              <w:t>1</w:t>
            </w:r>
          </w:p>
        </w:tc>
        <w:tc>
          <w:tcPr>
            <w:tcW w:w="3060" w:type="dxa"/>
            <w:shd w:val="clear" w:color="auto" w:fill="auto"/>
            <w:vAlign w:val="center"/>
          </w:tcPr>
          <w:p>
            <w:pPr>
              <w:widowControl/>
              <w:jc w:val="center"/>
            </w:pPr>
            <w:r>
              <w:t>2维自动追踪、自动测量</w:t>
            </w:r>
          </w:p>
        </w:tc>
        <w:tc>
          <w:tcPr>
            <w:tcW w:w="1194" w:type="dxa"/>
            <w:shd w:val="clear" w:color="auto" w:fill="auto"/>
            <w:vAlign w:val="center"/>
          </w:tcPr>
          <w:p>
            <w:pPr>
              <w:widowControl/>
              <w:jc w:val="center"/>
              <w:rPr>
                <w:lang w:bidi="ar"/>
              </w:rPr>
            </w:pPr>
            <w:r>
              <w:rPr>
                <w:lang w:bidi="ar"/>
              </w:rPr>
              <w:t>测眼压</w:t>
            </w:r>
          </w:p>
        </w:tc>
        <w:tc>
          <w:tcPr>
            <w:tcW w:w="1513" w:type="dxa"/>
            <w:shd w:val="clear" w:color="auto" w:fill="auto"/>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pPr>
              <w:widowControl/>
              <w:jc w:val="center"/>
              <w:rPr>
                <w:lang w:bidi="ar"/>
              </w:rPr>
            </w:pPr>
            <w:r>
              <w:rPr>
                <w:rFonts w:hint="eastAsia"/>
                <w:lang w:bidi="ar"/>
              </w:rPr>
              <w:t>3</w:t>
            </w:r>
          </w:p>
        </w:tc>
        <w:tc>
          <w:tcPr>
            <w:tcW w:w="1903" w:type="dxa"/>
            <w:shd w:val="clear" w:color="auto" w:fill="auto"/>
            <w:vAlign w:val="center"/>
          </w:tcPr>
          <w:p>
            <w:pPr>
              <w:widowControl/>
              <w:jc w:val="center"/>
            </w:pPr>
            <w:r>
              <w:rPr>
                <w:lang w:bidi="ar"/>
              </w:rPr>
              <w:t>综合验光仪</w:t>
            </w:r>
          </w:p>
        </w:tc>
        <w:tc>
          <w:tcPr>
            <w:tcW w:w="711" w:type="dxa"/>
            <w:shd w:val="clear" w:color="auto" w:fill="auto"/>
            <w:vAlign w:val="center"/>
          </w:tcPr>
          <w:p>
            <w:pPr>
              <w:widowControl/>
              <w:jc w:val="center"/>
            </w:pPr>
            <w:r>
              <w:rPr>
                <w:lang w:bidi="ar"/>
              </w:rPr>
              <w:t>台</w:t>
            </w:r>
          </w:p>
        </w:tc>
        <w:tc>
          <w:tcPr>
            <w:tcW w:w="705" w:type="dxa"/>
            <w:shd w:val="clear" w:color="auto" w:fill="auto"/>
            <w:vAlign w:val="center"/>
          </w:tcPr>
          <w:p>
            <w:pPr>
              <w:widowControl/>
              <w:jc w:val="center"/>
            </w:pPr>
            <w:r>
              <w:rPr>
                <w:lang w:bidi="ar"/>
              </w:rPr>
              <w:t>1</w:t>
            </w:r>
          </w:p>
        </w:tc>
        <w:tc>
          <w:tcPr>
            <w:tcW w:w="3060" w:type="dxa"/>
            <w:shd w:val="clear" w:color="auto" w:fill="auto"/>
            <w:vAlign w:val="center"/>
          </w:tcPr>
          <w:p>
            <w:pPr>
              <w:widowControl/>
              <w:jc w:val="center"/>
            </w:pPr>
            <w:r>
              <w:rPr>
                <w:lang w:bidi="ar"/>
              </w:rPr>
              <w:t>用于日常主观验光</w:t>
            </w:r>
          </w:p>
        </w:tc>
        <w:tc>
          <w:tcPr>
            <w:tcW w:w="1194" w:type="dxa"/>
            <w:shd w:val="clear" w:color="auto" w:fill="auto"/>
            <w:vAlign w:val="center"/>
          </w:tcPr>
          <w:p>
            <w:pPr>
              <w:widowControl/>
              <w:jc w:val="center"/>
            </w:pPr>
            <w:r>
              <w:rPr>
                <w:lang w:bidi="ar"/>
              </w:rPr>
              <w:t>验光</w:t>
            </w:r>
          </w:p>
        </w:tc>
        <w:tc>
          <w:tcPr>
            <w:tcW w:w="1513" w:type="dxa"/>
            <w:shd w:val="clear" w:color="auto" w:fill="auto"/>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pPr>
              <w:widowControl/>
              <w:jc w:val="center"/>
              <w:rPr>
                <w:lang w:bidi="ar"/>
              </w:rPr>
            </w:pPr>
            <w:r>
              <w:rPr>
                <w:rFonts w:hint="eastAsia"/>
                <w:lang w:bidi="ar"/>
              </w:rPr>
              <w:t>4</w:t>
            </w:r>
          </w:p>
        </w:tc>
        <w:tc>
          <w:tcPr>
            <w:tcW w:w="1903" w:type="dxa"/>
            <w:shd w:val="clear" w:color="auto" w:fill="auto"/>
            <w:vAlign w:val="center"/>
          </w:tcPr>
          <w:p>
            <w:pPr>
              <w:widowControl/>
              <w:jc w:val="center"/>
            </w:pPr>
            <w:r>
              <w:rPr>
                <w:lang w:bidi="ar"/>
              </w:rPr>
              <w:t>角膜地形图</w:t>
            </w:r>
          </w:p>
        </w:tc>
        <w:tc>
          <w:tcPr>
            <w:tcW w:w="711" w:type="dxa"/>
            <w:shd w:val="clear" w:color="auto" w:fill="auto"/>
            <w:vAlign w:val="center"/>
          </w:tcPr>
          <w:p>
            <w:pPr>
              <w:widowControl/>
              <w:jc w:val="center"/>
            </w:pPr>
            <w:r>
              <w:rPr>
                <w:lang w:bidi="ar"/>
              </w:rPr>
              <w:t>台</w:t>
            </w:r>
          </w:p>
        </w:tc>
        <w:tc>
          <w:tcPr>
            <w:tcW w:w="705" w:type="dxa"/>
            <w:shd w:val="clear" w:color="auto" w:fill="auto"/>
            <w:vAlign w:val="center"/>
          </w:tcPr>
          <w:p>
            <w:pPr>
              <w:widowControl/>
              <w:jc w:val="center"/>
            </w:pPr>
            <w:r>
              <w:rPr>
                <w:lang w:bidi="ar"/>
              </w:rPr>
              <w:t>1</w:t>
            </w:r>
          </w:p>
        </w:tc>
        <w:tc>
          <w:tcPr>
            <w:tcW w:w="3060" w:type="dxa"/>
            <w:shd w:val="clear" w:color="auto" w:fill="auto"/>
            <w:vAlign w:val="center"/>
          </w:tcPr>
          <w:p>
            <w:pPr>
              <w:widowControl/>
              <w:jc w:val="left"/>
            </w:pPr>
            <w:r>
              <w:t>角膜塑形镜验配金标准</w:t>
            </w:r>
          </w:p>
        </w:tc>
        <w:tc>
          <w:tcPr>
            <w:tcW w:w="1194" w:type="dxa"/>
            <w:shd w:val="clear" w:color="auto" w:fill="auto"/>
            <w:vAlign w:val="center"/>
          </w:tcPr>
          <w:p>
            <w:pPr>
              <w:widowControl/>
              <w:jc w:val="center"/>
            </w:pPr>
            <w:r>
              <w:rPr>
                <w:lang w:bidi="ar"/>
              </w:rPr>
              <w:t>查看角膜形状</w:t>
            </w:r>
          </w:p>
        </w:tc>
        <w:tc>
          <w:tcPr>
            <w:tcW w:w="1513" w:type="dxa"/>
            <w:shd w:val="clear" w:color="auto" w:fill="auto"/>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pPr>
              <w:widowControl/>
              <w:jc w:val="center"/>
              <w:rPr>
                <w:lang w:bidi="ar"/>
              </w:rPr>
            </w:pPr>
            <w:r>
              <w:rPr>
                <w:rFonts w:hint="eastAsia"/>
                <w:lang w:bidi="ar"/>
              </w:rPr>
              <w:t>5</w:t>
            </w:r>
          </w:p>
        </w:tc>
        <w:tc>
          <w:tcPr>
            <w:tcW w:w="1903" w:type="dxa"/>
            <w:shd w:val="clear" w:color="auto" w:fill="auto"/>
            <w:vAlign w:val="center"/>
          </w:tcPr>
          <w:p>
            <w:pPr>
              <w:widowControl/>
              <w:jc w:val="center"/>
              <w:rPr>
                <w:lang w:bidi="ar"/>
              </w:rPr>
            </w:pPr>
            <w:r>
              <w:rPr>
                <w:lang w:bidi="ar"/>
              </w:rPr>
              <w:t>裂隙灯</w:t>
            </w:r>
          </w:p>
        </w:tc>
        <w:tc>
          <w:tcPr>
            <w:tcW w:w="711" w:type="dxa"/>
            <w:shd w:val="clear" w:color="auto" w:fill="auto"/>
            <w:vAlign w:val="center"/>
          </w:tcPr>
          <w:p>
            <w:pPr>
              <w:widowControl/>
              <w:jc w:val="center"/>
            </w:pPr>
            <w:r>
              <w:rPr>
                <w:lang w:bidi="ar"/>
              </w:rPr>
              <w:t>台</w:t>
            </w:r>
          </w:p>
        </w:tc>
        <w:tc>
          <w:tcPr>
            <w:tcW w:w="705" w:type="dxa"/>
            <w:shd w:val="clear" w:color="auto" w:fill="auto"/>
            <w:vAlign w:val="center"/>
          </w:tcPr>
          <w:p>
            <w:pPr>
              <w:widowControl/>
              <w:jc w:val="center"/>
            </w:pPr>
            <w:r>
              <w:rPr>
                <w:lang w:bidi="ar"/>
              </w:rPr>
              <w:t>1</w:t>
            </w:r>
          </w:p>
        </w:tc>
        <w:tc>
          <w:tcPr>
            <w:tcW w:w="3060" w:type="dxa"/>
            <w:shd w:val="clear" w:color="auto" w:fill="auto"/>
            <w:vAlign w:val="center"/>
          </w:tcPr>
          <w:p>
            <w:pPr>
              <w:widowControl/>
              <w:jc w:val="center"/>
            </w:pPr>
          </w:p>
        </w:tc>
        <w:tc>
          <w:tcPr>
            <w:tcW w:w="1194" w:type="dxa"/>
            <w:shd w:val="clear" w:color="auto" w:fill="auto"/>
            <w:vAlign w:val="center"/>
          </w:tcPr>
          <w:p>
            <w:pPr>
              <w:widowControl/>
              <w:jc w:val="center"/>
              <w:rPr>
                <w:lang w:bidi="ar"/>
              </w:rPr>
            </w:pPr>
            <w:r>
              <w:rPr>
                <w:lang w:bidi="ar"/>
              </w:rPr>
              <w:t>检查眼表</w:t>
            </w:r>
          </w:p>
        </w:tc>
        <w:tc>
          <w:tcPr>
            <w:tcW w:w="1513" w:type="dxa"/>
            <w:shd w:val="clear" w:color="auto" w:fill="auto"/>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39" w:type="dxa"/>
            <w:shd w:val="clear" w:color="auto" w:fill="auto"/>
            <w:vAlign w:val="center"/>
          </w:tcPr>
          <w:p>
            <w:pPr>
              <w:widowControl/>
              <w:jc w:val="center"/>
              <w:rPr>
                <w:lang w:bidi="ar"/>
              </w:rPr>
            </w:pPr>
            <w:r>
              <w:rPr>
                <w:rFonts w:hint="eastAsia"/>
                <w:lang w:bidi="ar"/>
              </w:rPr>
              <w:t>6</w:t>
            </w:r>
          </w:p>
        </w:tc>
        <w:tc>
          <w:tcPr>
            <w:tcW w:w="1903" w:type="dxa"/>
            <w:shd w:val="clear" w:color="auto" w:fill="auto"/>
            <w:vAlign w:val="center"/>
          </w:tcPr>
          <w:p>
            <w:pPr>
              <w:widowControl/>
              <w:jc w:val="center"/>
              <w:rPr>
                <w:lang w:bidi="ar"/>
              </w:rPr>
            </w:pPr>
            <w:r>
              <w:rPr>
                <w:lang w:bidi="ar"/>
              </w:rPr>
              <w:t>视力表投影仪</w:t>
            </w:r>
          </w:p>
        </w:tc>
        <w:tc>
          <w:tcPr>
            <w:tcW w:w="711" w:type="dxa"/>
            <w:shd w:val="clear" w:color="auto" w:fill="auto"/>
            <w:vAlign w:val="center"/>
          </w:tcPr>
          <w:p>
            <w:pPr>
              <w:widowControl/>
              <w:jc w:val="center"/>
            </w:pPr>
            <w:r>
              <w:rPr>
                <w:lang w:bidi="ar"/>
              </w:rPr>
              <w:t>台</w:t>
            </w:r>
          </w:p>
        </w:tc>
        <w:tc>
          <w:tcPr>
            <w:tcW w:w="705" w:type="dxa"/>
            <w:shd w:val="clear" w:color="auto" w:fill="auto"/>
            <w:vAlign w:val="center"/>
          </w:tcPr>
          <w:p>
            <w:pPr>
              <w:widowControl/>
              <w:jc w:val="center"/>
            </w:pPr>
            <w:r>
              <w:rPr>
                <w:lang w:bidi="ar"/>
              </w:rPr>
              <w:t>1</w:t>
            </w:r>
          </w:p>
        </w:tc>
        <w:tc>
          <w:tcPr>
            <w:tcW w:w="3060" w:type="dxa"/>
            <w:shd w:val="clear" w:color="auto" w:fill="auto"/>
            <w:vAlign w:val="center"/>
          </w:tcPr>
          <w:p>
            <w:pPr>
              <w:widowControl/>
              <w:jc w:val="center"/>
            </w:pPr>
          </w:p>
        </w:tc>
        <w:tc>
          <w:tcPr>
            <w:tcW w:w="1194" w:type="dxa"/>
            <w:shd w:val="clear" w:color="auto" w:fill="auto"/>
            <w:vAlign w:val="center"/>
          </w:tcPr>
          <w:p>
            <w:pPr>
              <w:widowControl/>
              <w:jc w:val="center"/>
              <w:rPr>
                <w:lang w:bidi="ar"/>
              </w:rPr>
            </w:pPr>
            <w:r>
              <w:rPr>
                <w:lang w:bidi="ar"/>
              </w:rPr>
              <w:t>验光</w:t>
            </w:r>
          </w:p>
        </w:tc>
        <w:tc>
          <w:tcPr>
            <w:tcW w:w="1513" w:type="dxa"/>
            <w:shd w:val="clear" w:color="auto" w:fill="auto"/>
            <w:vAlign w:val="center"/>
          </w:tcPr>
          <w:p>
            <w:pPr>
              <w:widowControl/>
              <w:jc w:val="center"/>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9" w:type="dxa"/>
            <w:shd w:val="clear" w:color="auto" w:fill="auto"/>
            <w:vAlign w:val="center"/>
          </w:tcPr>
          <w:p>
            <w:pPr>
              <w:widowControl/>
              <w:jc w:val="center"/>
            </w:pPr>
            <w:r>
              <w:t>7</w:t>
            </w:r>
          </w:p>
        </w:tc>
        <w:tc>
          <w:tcPr>
            <w:tcW w:w="1903" w:type="dxa"/>
            <w:shd w:val="clear" w:color="auto" w:fill="auto"/>
            <w:vAlign w:val="center"/>
          </w:tcPr>
          <w:p>
            <w:pPr>
              <w:widowControl/>
              <w:jc w:val="center"/>
            </w:pPr>
            <w:r>
              <w:rPr>
                <w:rFonts w:hint="eastAsia"/>
              </w:rPr>
              <w:t>镜片箱</w:t>
            </w:r>
          </w:p>
        </w:tc>
        <w:tc>
          <w:tcPr>
            <w:tcW w:w="711" w:type="dxa"/>
            <w:shd w:val="clear" w:color="auto" w:fill="auto"/>
            <w:vAlign w:val="center"/>
          </w:tcPr>
          <w:p>
            <w:pPr>
              <w:widowControl/>
              <w:jc w:val="center"/>
            </w:pPr>
            <w:r>
              <w:rPr>
                <w:rFonts w:hint="eastAsia"/>
              </w:rPr>
              <w:t>台</w:t>
            </w:r>
          </w:p>
        </w:tc>
        <w:tc>
          <w:tcPr>
            <w:tcW w:w="705" w:type="dxa"/>
            <w:shd w:val="clear" w:color="auto" w:fill="auto"/>
            <w:vAlign w:val="center"/>
          </w:tcPr>
          <w:p>
            <w:pPr>
              <w:widowControl/>
              <w:jc w:val="center"/>
            </w:pPr>
            <w:r>
              <w:rPr>
                <w:rFonts w:hint="eastAsia"/>
              </w:rPr>
              <w:t>2</w:t>
            </w:r>
          </w:p>
        </w:tc>
        <w:tc>
          <w:tcPr>
            <w:tcW w:w="3060" w:type="dxa"/>
            <w:shd w:val="clear" w:color="auto" w:fill="auto"/>
            <w:vAlign w:val="center"/>
          </w:tcPr>
          <w:p>
            <w:pPr>
              <w:widowControl/>
              <w:jc w:val="center"/>
            </w:pPr>
          </w:p>
        </w:tc>
        <w:tc>
          <w:tcPr>
            <w:tcW w:w="1194" w:type="dxa"/>
            <w:shd w:val="clear" w:color="auto" w:fill="auto"/>
            <w:vAlign w:val="center"/>
          </w:tcPr>
          <w:p>
            <w:pPr>
              <w:widowControl/>
              <w:jc w:val="center"/>
            </w:pPr>
            <w:r>
              <w:rPr>
                <w:rFonts w:hint="eastAsia"/>
                <w:lang w:bidi="ar"/>
              </w:rPr>
              <w:t>验光</w:t>
            </w:r>
          </w:p>
        </w:tc>
        <w:tc>
          <w:tcPr>
            <w:tcW w:w="1513" w:type="dxa"/>
            <w:shd w:val="clear" w:color="auto" w:fill="auto"/>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9" w:type="dxa"/>
            <w:shd w:val="clear" w:color="auto" w:fill="auto"/>
            <w:vAlign w:val="center"/>
          </w:tcPr>
          <w:p>
            <w:pPr>
              <w:widowControl/>
              <w:jc w:val="center"/>
            </w:pPr>
            <w:r>
              <w:t>8</w:t>
            </w:r>
          </w:p>
        </w:tc>
        <w:tc>
          <w:tcPr>
            <w:tcW w:w="1903" w:type="dxa"/>
            <w:shd w:val="clear" w:color="auto" w:fill="auto"/>
            <w:vAlign w:val="center"/>
          </w:tcPr>
          <w:p>
            <w:pPr>
              <w:widowControl/>
              <w:jc w:val="center"/>
            </w:pPr>
            <w:r>
              <w:rPr>
                <w:lang w:bidi="ar"/>
              </w:rPr>
              <w:t>焦度仪</w:t>
            </w:r>
          </w:p>
        </w:tc>
        <w:tc>
          <w:tcPr>
            <w:tcW w:w="711" w:type="dxa"/>
            <w:shd w:val="clear" w:color="auto" w:fill="auto"/>
            <w:vAlign w:val="center"/>
          </w:tcPr>
          <w:p>
            <w:pPr>
              <w:widowControl/>
              <w:jc w:val="center"/>
            </w:pPr>
            <w:r>
              <w:rPr>
                <w:rFonts w:hint="eastAsia"/>
              </w:rPr>
              <w:t>台</w:t>
            </w:r>
          </w:p>
        </w:tc>
        <w:tc>
          <w:tcPr>
            <w:tcW w:w="705" w:type="dxa"/>
            <w:shd w:val="clear" w:color="auto" w:fill="auto"/>
            <w:vAlign w:val="center"/>
          </w:tcPr>
          <w:p>
            <w:pPr>
              <w:widowControl/>
              <w:jc w:val="center"/>
            </w:pPr>
            <w:r>
              <w:rPr>
                <w:rFonts w:hint="eastAsia"/>
                <w:lang w:bidi="ar"/>
              </w:rPr>
              <w:t>1</w:t>
            </w:r>
          </w:p>
        </w:tc>
        <w:tc>
          <w:tcPr>
            <w:tcW w:w="3060" w:type="dxa"/>
            <w:shd w:val="clear" w:color="auto" w:fill="auto"/>
            <w:vAlign w:val="center"/>
          </w:tcPr>
          <w:p>
            <w:pPr>
              <w:widowControl/>
              <w:jc w:val="center"/>
            </w:pPr>
          </w:p>
        </w:tc>
        <w:tc>
          <w:tcPr>
            <w:tcW w:w="1194" w:type="dxa"/>
            <w:shd w:val="clear" w:color="auto" w:fill="auto"/>
            <w:vAlign w:val="center"/>
          </w:tcPr>
          <w:p>
            <w:pPr>
              <w:widowControl/>
              <w:jc w:val="center"/>
            </w:pPr>
            <w:r>
              <w:rPr>
                <w:rFonts w:hint="eastAsia"/>
                <w:lang w:bidi="ar"/>
              </w:rPr>
              <w:t>验光</w:t>
            </w:r>
          </w:p>
        </w:tc>
        <w:tc>
          <w:tcPr>
            <w:tcW w:w="1513" w:type="dxa"/>
            <w:shd w:val="clear" w:color="auto" w:fill="auto"/>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39" w:type="dxa"/>
            <w:shd w:val="clear" w:color="auto" w:fill="auto"/>
            <w:vAlign w:val="center"/>
          </w:tcPr>
          <w:p>
            <w:pPr>
              <w:widowControl/>
              <w:jc w:val="center"/>
              <w:rPr>
                <w:rFonts w:hint="eastAsia" w:eastAsia="宋体"/>
                <w:lang w:val="en-US" w:eastAsia="zh-CN"/>
              </w:rPr>
            </w:pPr>
            <w:r>
              <w:rPr>
                <w:rFonts w:hint="eastAsia"/>
                <w:lang w:val="en-US" w:eastAsia="zh-CN"/>
              </w:rPr>
              <w:t>9</w:t>
            </w:r>
          </w:p>
        </w:tc>
        <w:tc>
          <w:tcPr>
            <w:tcW w:w="1903" w:type="dxa"/>
            <w:shd w:val="clear" w:color="auto" w:fill="auto"/>
            <w:vAlign w:val="center"/>
          </w:tcPr>
          <w:p>
            <w:pPr>
              <w:widowControl/>
              <w:jc w:val="center"/>
              <w:rPr>
                <w:rFonts w:hint="default" w:eastAsia="宋体"/>
                <w:lang w:val="en-US" w:eastAsia="zh-CN" w:bidi="ar"/>
              </w:rPr>
            </w:pPr>
            <w:r>
              <w:rPr>
                <w:rFonts w:hint="eastAsia"/>
                <w:lang w:val="en-US" w:eastAsia="zh-CN" w:bidi="ar"/>
              </w:rPr>
              <w:t>同视机</w:t>
            </w:r>
          </w:p>
        </w:tc>
        <w:tc>
          <w:tcPr>
            <w:tcW w:w="711" w:type="dxa"/>
            <w:shd w:val="clear" w:color="auto" w:fill="auto"/>
            <w:vAlign w:val="center"/>
          </w:tcPr>
          <w:p>
            <w:pPr>
              <w:widowControl/>
              <w:jc w:val="center"/>
              <w:rPr>
                <w:rFonts w:hint="default" w:eastAsia="宋体"/>
                <w:lang w:val="en-US" w:eastAsia="zh-CN"/>
              </w:rPr>
            </w:pPr>
            <w:r>
              <w:rPr>
                <w:rFonts w:hint="eastAsia"/>
                <w:lang w:val="en-US" w:eastAsia="zh-CN"/>
              </w:rPr>
              <w:t>台</w:t>
            </w:r>
          </w:p>
        </w:tc>
        <w:tc>
          <w:tcPr>
            <w:tcW w:w="705" w:type="dxa"/>
            <w:shd w:val="clear" w:color="auto" w:fill="auto"/>
            <w:vAlign w:val="center"/>
          </w:tcPr>
          <w:p>
            <w:pPr>
              <w:widowControl/>
              <w:jc w:val="center"/>
              <w:rPr>
                <w:rFonts w:hint="eastAsia" w:eastAsia="宋体"/>
                <w:lang w:val="en-US" w:eastAsia="zh-CN" w:bidi="ar"/>
              </w:rPr>
            </w:pPr>
            <w:r>
              <w:rPr>
                <w:rFonts w:hint="eastAsia"/>
                <w:lang w:val="en-US" w:eastAsia="zh-CN" w:bidi="ar"/>
              </w:rPr>
              <w:t>1</w:t>
            </w:r>
          </w:p>
        </w:tc>
        <w:tc>
          <w:tcPr>
            <w:tcW w:w="3060" w:type="dxa"/>
            <w:shd w:val="clear" w:color="auto" w:fill="auto"/>
            <w:vAlign w:val="center"/>
          </w:tcPr>
          <w:p>
            <w:pPr>
              <w:widowControl/>
              <w:jc w:val="center"/>
              <w:rPr>
                <w:rFonts w:hint="eastAsia" w:eastAsia="宋体"/>
                <w:lang w:val="en-US" w:eastAsia="zh-CN"/>
              </w:rPr>
            </w:pPr>
            <w:r>
              <w:rPr>
                <w:rFonts w:hint="eastAsia"/>
                <w:lang w:val="en-US" w:eastAsia="zh-CN"/>
              </w:rPr>
              <w:t>斜视检查</w:t>
            </w:r>
          </w:p>
        </w:tc>
        <w:tc>
          <w:tcPr>
            <w:tcW w:w="1194" w:type="dxa"/>
            <w:shd w:val="clear" w:color="auto" w:fill="auto"/>
            <w:vAlign w:val="center"/>
          </w:tcPr>
          <w:p>
            <w:pPr>
              <w:widowControl/>
              <w:jc w:val="center"/>
              <w:rPr>
                <w:rFonts w:hint="default" w:eastAsia="宋体"/>
                <w:lang w:val="en-US" w:eastAsia="zh-CN" w:bidi="ar"/>
              </w:rPr>
            </w:pPr>
            <w:r>
              <w:rPr>
                <w:rFonts w:hint="eastAsia"/>
                <w:lang w:val="en-US" w:eastAsia="zh-CN" w:bidi="ar"/>
              </w:rPr>
              <w:t>验光</w:t>
            </w:r>
          </w:p>
        </w:tc>
        <w:tc>
          <w:tcPr>
            <w:tcW w:w="1513" w:type="dxa"/>
            <w:shd w:val="clear" w:color="auto" w:fill="auto"/>
            <w:vAlign w:val="center"/>
          </w:tcPr>
          <w:p>
            <w:pPr>
              <w:widowControl/>
              <w:jc w:val="center"/>
            </w:pPr>
          </w:p>
        </w:tc>
      </w:tr>
    </w:tbl>
    <w:p>
      <w:pPr>
        <w:pStyle w:val="4"/>
        <w:tabs>
          <w:tab w:val="left" w:pos="7740"/>
        </w:tabs>
        <w:adjustRightInd w:val="0"/>
        <w:snapToGrid w:val="0"/>
        <w:spacing w:line="560" w:lineRule="exact"/>
        <w:ind w:firstLine="480" w:firstLineChars="200"/>
        <w:rPr>
          <w:rFonts w:ascii="仿宋_GB2312" w:hAnsi="仿宋_GB2312" w:eastAsia="仿宋_GB2312" w:cs="仿宋_GB2312"/>
          <w:kern w:val="0"/>
          <w:sz w:val="24"/>
          <w:szCs w:val="24"/>
        </w:rPr>
      </w:pPr>
    </w:p>
    <w:p>
      <w:pPr>
        <w:pStyle w:val="4"/>
        <w:tabs>
          <w:tab w:val="left" w:pos="7740"/>
        </w:tabs>
        <w:adjustRightInd w:val="0"/>
        <w:snapToGrid w:val="0"/>
        <w:spacing w:line="560" w:lineRule="exact"/>
        <w:ind w:firstLine="482" w:firstLine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（七）经营场地管理</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1.采购人为</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提供开展本项目业务所需经营场地约</w:t>
      </w:r>
      <w:r>
        <w:rPr>
          <w:rFonts w:hint="eastAsia" w:ascii="仿宋_GB2312" w:hAnsi="仿宋_GB2312" w:eastAsia="仿宋_GB2312" w:cs="仿宋_GB2312"/>
          <w:kern w:val="0"/>
          <w:sz w:val="24"/>
          <w:lang w:val="en-US" w:eastAsia="zh-CN"/>
        </w:rPr>
        <w:t xml:space="preserve"> 29.23 </w:t>
      </w:r>
      <w:r>
        <w:rPr>
          <w:rFonts w:hint="eastAsia" w:ascii="仿宋_GB2312" w:hAnsi="仿宋_GB2312" w:eastAsia="仿宋_GB2312" w:cs="仿宋_GB2312"/>
          <w:kern w:val="0"/>
          <w:sz w:val="24"/>
        </w:rPr>
        <w:t>㎡（门诊</w:t>
      </w:r>
      <w:r>
        <w:rPr>
          <w:rFonts w:hint="eastAsia" w:ascii="仿宋_GB2312" w:hAnsi="仿宋_GB2312" w:eastAsia="仿宋_GB2312" w:cs="仿宋_GB2312"/>
          <w:kern w:val="0"/>
          <w:sz w:val="24"/>
          <w:lang w:eastAsia="zh-CN"/>
        </w:rPr>
        <w:t>综合</w:t>
      </w:r>
      <w:r>
        <w:rPr>
          <w:rFonts w:hint="eastAsia" w:ascii="仿宋_GB2312" w:hAnsi="仿宋_GB2312" w:eastAsia="仿宋_GB2312" w:cs="仿宋_GB2312"/>
          <w:kern w:val="0"/>
          <w:sz w:val="24"/>
        </w:rPr>
        <w:t>楼</w:t>
      </w:r>
      <w:r>
        <w:rPr>
          <w:rFonts w:hint="eastAsia" w:ascii="仿宋_GB2312" w:hAnsi="仿宋_GB2312" w:eastAsia="仿宋_GB2312" w:cs="仿宋_GB2312"/>
          <w:kern w:val="0"/>
          <w:sz w:val="24"/>
          <w:lang w:val="en-US" w:eastAsia="zh-CN"/>
        </w:rPr>
        <w:t xml:space="preserve"> 5 楼</w:t>
      </w:r>
      <w:r>
        <w:rPr>
          <w:rFonts w:hint="eastAsia" w:ascii="仿宋_GB2312" w:hAnsi="仿宋_GB2312" w:eastAsia="仿宋_GB2312" w:cs="仿宋_GB2312"/>
          <w:kern w:val="0"/>
          <w:sz w:val="24"/>
        </w:rPr>
        <w:t xml:space="preserve">）；提供所需的水、电、空调等相关基础配套设施。 </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应按市场监督管理部门核发的营业执照登记的经营范围使用本项目场地，不得改作它用。</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3.场地交付后，经采购人同意</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可以按实际情况对经营场地进行整改装修，与医院整体装修风格相符，整改装修费用由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承担。</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在装修前，应向采购人提交规范的装修施工图，经采购人书面同意后，</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方可施工。采购人应于收到装修施工图后的5个工作日内予以答复。</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在装修完成后的5个工作日内，向采购人提交装修的竣工图作为备案。</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在装修过程中不得破坏经营场地的主体结构，</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在装修时如需拆除原始的内墙或增加内墙，应符合有关建筑法规的规定和要求，并承担由此造成的一切责任。合同终止时，</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必须将经营场地保持现状，不得擅自拆除。</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装修前应为</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聘请的装修人员自行购买人身意外伤害保险，并对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装修人员的人身、财产安全承担一切责任。</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7.采购人对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提交的装修施工图表示同意的，</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仍需履行因整改、内部装修、用途变更引致的相关连带事项（如消防、环保、卫生等）应及时向有关机构申报审核审批的义务，审核审批及验收结果须报采购人备案。因整改、装修导致</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无法正常使用经营场地的风险，由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自行承担。</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8.采购人提出进行维修应提前1日通知</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应积极协助配合。</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向采购人提出维修请求后，采购人应及时提供维修服务，对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的装修装饰部分采购人不负有修缮的义务。</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9.</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不得擅自改建、扩建，否则采购人有权责令</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自行拆除并恢复原状。拒不拆除的，采购人有权通知政府有关部门予以拆除，由此产生的费用由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承担。</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10.经营场地配套设施的日常维护与修缮由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自费负责。</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11.本合同终止时，由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购买的可移动物品（指办公用品、桌椅）归</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所有，</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可以自行取走。</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装修的经营场地内不可移动的附着物（包括但不限于天花板、门窗、地板、上下水管、卫生设施、消防设施、照明系统的电线及桥架）不得拆除，无偿归采购人所有。</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需在取得消防部门核发的消防合格证，并经采购人审验后，方可进行经营。否则，相关风险由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自行承担。</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13.场地费用：</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（1）采购人对中标人收取场地管理费，管理费用中包含水电费及其他管理费用。</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（2）水电费：</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应厉行节约，用水用电符合采购人消防等管理要求，场地的用电设备需提交采购人审核同意后使用。</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（3）合同期间，</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使用本项目场地进行商业活动产生的其他各项费用（</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申请安装电话、宽带、有线电视或其他设备的费用等）均由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（4）维修费：合同期间，由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承担经营场地范围内的施工和维修费用。</w:t>
      </w:r>
    </w:p>
    <w:p>
      <w:pPr>
        <w:spacing w:line="56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（八）采购人、</w:t>
      </w:r>
      <w:r>
        <w:rPr>
          <w:rFonts w:hint="eastAsia" w:ascii="仿宋_GB2312" w:hAnsi="仿宋_GB2312" w:eastAsia="仿宋_GB2312" w:cs="仿宋_GB2312"/>
          <w:b/>
          <w:bCs/>
          <w:kern w:val="0"/>
          <w:sz w:val="24"/>
          <w:lang w:eastAsia="zh-CN"/>
        </w:rPr>
        <w:t>中标人</w:t>
      </w:r>
      <w:r>
        <w:rPr>
          <w:rFonts w:hint="eastAsia" w:ascii="仿宋_GB2312" w:hAnsi="仿宋_GB2312" w:eastAsia="仿宋_GB2312" w:cs="仿宋_GB2312"/>
          <w:b/>
          <w:bCs/>
          <w:kern w:val="0"/>
          <w:sz w:val="24"/>
        </w:rPr>
        <w:t>双方权利义务</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1.采购人权利及义务</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（1）提供配套开展业务的场地及相关设施：如验光、配镜及加工场地和水电设施。</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（2）协助</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开展视力普查及宣传及医学验光配镜业务。</w:t>
      </w:r>
    </w:p>
    <w:p>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（3）采购人对</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在院内的配镜经营活动进行指导、监督和检查，监督供应商所提供的材料及产品的质量、价格。</w:t>
      </w:r>
    </w:p>
    <w:p>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（4）采购人有权监督</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人员在院内经营人员的销售管理行为；</w:t>
      </w:r>
    </w:p>
    <w:p>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（5）采购人有权要求</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人员遵守采购人院内相关管理制度；</w:t>
      </w:r>
    </w:p>
    <w:p>
      <w:pPr>
        <w:pStyle w:val="3"/>
        <w:spacing w:line="56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（6）采购人有权对</w:t>
      </w:r>
      <w:r>
        <w:rPr>
          <w:rFonts w:hint="eastAsia" w:ascii="仿宋_GB2312" w:hAnsi="仿宋_GB2312" w:eastAsia="仿宋_GB2312" w:cs="仿宋_GB2312"/>
          <w:kern w:val="0"/>
          <w:sz w:val="24"/>
          <w:szCs w:val="24"/>
          <w:lang w:eastAsia="zh-CN"/>
        </w:rPr>
        <w:t>中标人</w:t>
      </w:r>
      <w:r>
        <w:rPr>
          <w:rFonts w:hint="eastAsia" w:ascii="仿宋_GB2312" w:hAnsi="仿宋_GB2312" w:eastAsia="仿宋_GB2312" w:cs="仿宋_GB2312"/>
          <w:kern w:val="0"/>
          <w:sz w:val="24"/>
          <w:szCs w:val="24"/>
        </w:rPr>
        <w:t>经营产品的质量、销售服务，经营管理行为监督管理；</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权利及义务</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全面负责项目投资及运营费用，并办理相关手续，包括但不限于以下项目：配镜中心整体设计及装修施工，按政府相关规定必须办理的项目报建、消防审批、设施报装等手续及费用，前期宣传推广费用等项目实施一切必要费用；所投资建设配镜中心装修标准要达到或高于采购人要求的装修标准。</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负责本项目所需的相关设备的采购、维护保养和保管义务。</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负责提供配镜中心配套产品，如医学光学镜架、镜架、近视、弱视、远视系列产品及定配设施，并确保所提供产品生产、销售、使用等全套资质的合法性。</w:t>
      </w:r>
    </w:p>
    <w:p>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（4）按照国家相关政策及卫生主管部门制定的统一标准收费。</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（5）</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不得将配镜中心经营场地以任何形式转租其他第三方，非经采购人同意不得以任何形式与第三方联营、合作经营、承包经营或委托经营等。不得在经营场地经营本项目采购文件及合同规定的和营业执照经营范围以外的其它项目。</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所经营的业务应经采购人备案认可后方可开展。</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（7）</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积极配合采购人处理投诉、建议、整改等，若</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原因产生的投诉应由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负责处理，如影响较大的，采购人有权单方面书面通知</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解除合同，由此产生的损失由</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负责。因</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原因产生的投诉对采购人造成损失的，采购人有权向</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追溯并追究其法律责任。</w:t>
      </w:r>
    </w:p>
    <w:p>
      <w:pPr>
        <w:spacing w:line="56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（8）</w:t>
      </w:r>
      <w:r>
        <w:rPr>
          <w:rFonts w:hint="eastAsia" w:ascii="仿宋_GB2312" w:hAnsi="仿宋_GB2312" w:eastAsia="仿宋_GB2312" w:cs="仿宋_GB2312"/>
          <w:kern w:val="0"/>
          <w:sz w:val="24"/>
          <w:lang w:eastAsia="zh-CN"/>
        </w:rPr>
        <w:t>中标人</w:t>
      </w:r>
      <w:r>
        <w:rPr>
          <w:rFonts w:hint="eastAsia" w:ascii="仿宋_GB2312" w:hAnsi="仿宋_GB2312" w:eastAsia="仿宋_GB2312" w:cs="仿宋_GB2312"/>
          <w:kern w:val="0"/>
          <w:sz w:val="24"/>
        </w:rPr>
        <w:t>必须向采购人开放收费系统，接受采购人对其营业情况，产品和服务销售价格监管和经营相关数据提取。</w:t>
      </w:r>
    </w:p>
    <w:p>
      <w:pPr>
        <w:pStyle w:val="2"/>
        <w:numPr>
          <w:ilvl w:val="255"/>
          <w:numId w:val="0"/>
        </w:numPr>
        <w:spacing w:line="56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（九）商务要求</w:t>
      </w:r>
    </w:p>
    <w:p>
      <w:pPr>
        <w:pStyle w:val="7"/>
        <w:framePr w:wrap="auto" w:vAnchor="margin" w:hAnchor="text" w:yAlign="inline"/>
        <w:widowControl/>
        <w:numPr>
          <w:ilvl w:val="255"/>
          <w:numId w:val="0"/>
        </w:numPr>
        <w:tabs>
          <w:tab w:val="left" w:pos="1260"/>
          <w:tab w:val="left" w:pos="1365"/>
        </w:tabs>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1.报价要求：</w:t>
      </w:r>
    </w:p>
    <w:p>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（1）成交价格在合同执行期间不变。</w:t>
      </w:r>
    </w:p>
    <w:p>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（2）成交价格包括但不限于各种人工费用、管理费用、不可预见费、税费、利润等以及供应商完成本项目所必要的其他货物、材料、服务等一切费用。 </w:t>
      </w:r>
    </w:p>
    <w:p>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2.经营期限：合同生效之日起</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个月。</w:t>
      </w:r>
    </w:p>
    <w:p>
      <w:pPr>
        <w:pStyle w:val="4"/>
        <w:tabs>
          <w:tab w:val="left" w:pos="7740"/>
        </w:tabs>
        <w:adjustRightInd w:val="0"/>
        <w:snapToGrid w:val="0"/>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3.服务地点：</w:t>
      </w:r>
      <w:r>
        <w:rPr>
          <w:rFonts w:hint="eastAsia" w:ascii="仿宋_GB2312" w:hAnsi="仿宋_GB2312" w:eastAsia="仿宋_GB2312" w:cs="仿宋_GB2312"/>
          <w:sz w:val="24"/>
          <w:szCs w:val="24"/>
          <w:lang w:eastAsia="zh-CN"/>
        </w:rPr>
        <w:t>珠海市第五人民医院指定地点</w:t>
      </w:r>
      <w:r>
        <w:rPr>
          <w:rFonts w:hint="eastAsia" w:ascii="仿宋_GB2312" w:hAnsi="仿宋_GB2312" w:eastAsia="仿宋_GB2312" w:cs="仿宋_GB2312"/>
          <w:sz w:val="24"/>
          <w:szCs w:val="24"/>
        </w:rPr>
        <w:t>。</w:t>
      </w:r>
    </w:p>
    <w:p>
      <w:pPr>
        <w:pStyle w:val="7"/>
        <w:framePr w:wrap="auto" w:vAnchor="margin" w:hAnchor="text" w:yAlign="inline"/>
        <w:widowControl/>
        <w:numPr>
          <w:ilvl w:val="255"/>
          <w:numId w:val="0"/>
        </w:numPr>
        <w:tabs>
          <w:tab w:val="left" w:pos="1260"/>
          <w:tab w:val="left" w:pos="1365"/>
        </w:tabs>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4.支付方式：按季度支付管理费，</w:t>
      </w:r>
      <w:r>
        <w:rPr>
          <w:rFonts w:hint="eastAsia" w:ascii="仿宋_GB2312" w:hAnsi="仿宋_GB2312" w:eastAsia="仿宋_GB2312" w:cs="仿宋_GB2312"/>
          <w:color w:val="auto"/>
          <w:sz w:val="24"/>
          <w:szCs w:val="24"/>
          <w:lang w:eastAsia="zh-CN"/>
        </w:rPr>
        <w:t>中标人</w:t>
      </w:r>
      <w:r>
        <w:rPr>
          <w:rFonts w:hint="eastAsia" w:ascii="仿宋_GB2312" w:hAnsi="仿宋_GB2312" w:eastAsia="仿宋_GB2312" w:cs="仿宋_GB2312"/>
          <w:color w:val="auto"/>
          <w:sz w:val="24"/>
          <w:szCs w:val="24"/>
        </w:rPr>
        <w:t xml:space="preserve">在每季度的首月十号前按采购人支付要求缴纳场地管理费用。 </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91887"/>
    <w:rsid w:val="03547F3F"/>
    <w:rsid w:val="18EB0244"/>
    <w:rsid w:val="1D9C20B2"/>
    <w:rsid w:val="23182A39"/>
    <w:rsid w:val="263616D7"/>
    <w:rsid w:val="26754750"/>
    <w:rsid w:val="2B191887"/>
    <w:rsid w:val="39822409"/>
    <w:rsid w:val="462E7FC6"/>
    <w:rsid w:val="470879D9"/>
    <w:rsid w:val="4A8F317D"/>
    <w:rsid w:val="4D897F70"/>
    <w:rsid w:val="503962D8"/>
    <w:rsid w:val="578A52CA"/>
    <w:rsid w:val="59374B66"/>
    <w:rsid w:val="5D0B0121"/>
    <w:rsid w:val="660B1854"/>
    <w:rsid w:val="670D6F06"/>
    <w:rsid w:val="6A0330F6"/>
    <w:rsid w:val="74715218"/>
    <w:rsid w:val="76746FA2"/>
    <w:rsid w:val="7842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cs="Courier New"/>
      <w:szCs w:val="21"/>
    </w:rPr>
  </w:style>
  <w:style w:type="paragraph" w:customStyle="1" w:styleId="7">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2596</Words>
  <Characters>2639</Characters>
  <Lines>0</Lines>
  <Paragraphs>0</Paragraphs>
  <TotalTime>44</TotalTime>
  <ScaleCrop>false</ScaleCrop>
  <LinksUpToDate>false</LinksUpToDate>
  <CharactersWithSpaces>2644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2025-01-02T02:46:00Z</dcterms:created>
  <dc:creator>珠海市五院陈英钊</dc:creator>
  <cp:lastModifiedBy>陈晓</cp:lastModifiedBy>
  <cp:lastPrinted>2025-01-03T02:22:00Z</cp:lastPrinted>
  <dcterms:modified xsi:type="dcterms:W3CDTF">2025-04-02T03:51:55Z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EA69FC4E37C94793ADD7D94FA583BC3A_13</vt:lpwstr>
  </property>
  <property fmtid="{D5CDD505-2E9C-101B-9397-08002B2CF9AE}" pid="4" name="KSOTemplateDocerSaveRecord">
    <vt:lpwstr>eyJoZGlkIjoiMDY5NmFjMmM4ZTljMGJiZDAxN2JmYTc0NGI0NmFiNDgiLCJ1c2VySWQiOiIzMzc1MjMzMTcifQ==</vt:lpwstr>
  </property>
</Properties>
</file>